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1D" w:rsidRPr="009A7929" w:rsidRDefault="0098371D" w:rsidP="0098371D">
      <w:pPr>
        <w:ind w:right="174"/>
        <w:jc w:val="both"/>
        <w:rPr>
          <w:b/>
        </w:rPr>
      </w:pPr>
      <w:r w:rsidRPr="009A7929">
        <w:rPr>
          <w:b/>
        </w:rPr>
        <w:t>Поведение в конфликте</w:t>
      </w:r>
      <w:r>
        <w:rPr>
          <w:b/>
        </w:rPr>
        <w:t xml:space="preserve"> (м</w:t>
      </w:r>
      <w:r w:rsidR="001D170A">
        <w:rPr>
          <w:b/>
        </w:rPr>
        <w:t>одификация методики</w:t>
      </w:r>
      <w:r>
        <w:rPr>
          <w:b/>
        </w:rPr>
        <w:t xml:space="preserve"> К. Томаса)</w:t>
      </w:r>
      <w:r w:rsidR="005434CB">
        <w:rPr>
          <w:rStyle w:val="a6"/>
          <w:b/>
        </w:rPr>
        <w:footnoteReference w:id="1"/>
      </w:r>
    </w:p>
    <w:p w:rsidR="0098371D" w:rsidRDefault="0098371D" w:rsidP="0098371D">
      <w:pPr>
        <w:ind w:right="174"/>
      </w:pPr>
    </w:p>
    <w:p w:rsidR="0098371D" w:rsidRDefault="0098371D" w:rsidP="0098371D">
      <w:pPr>
        <w:ind w:right="174"/>
        <w:jc w:val="both"/>
      </w:pPr>
      <w:r w:rsidRPr="008B085A">
        <w:rPr>
          <w:b/>
          <w:i/>
        </w:rPr>
        <w:t>Инструкция.</w:t>
      </w:r>
      <w:r>
        <w:t xml:space="preserve"> Как часто вы ведете себя подобным образом (1 – никогда, 2 – редко, 3 – часто, 4 – постоянно).                                                                                               </w:t>
      </w:r>
    </w:p>
    <w:p w:rsidR="0098371D" w:rsidRDefault="0098371D" w:rsidP="0098371D">
      <w:pPr>
        <w:ind w:right="174"/>
      </w:pPr>
      <w:r>
        <w:tab/>
      </w:r>
      <w:r>
        <w:tab/>
      </w: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7128"/>
        <w:gridCol w:w="540"/>
        <w:gridCol w:w="540"/>
        <w:gridCol w:w="540"/>
        <w:gridCol w:w="540"/>
      </w:tblGrid>
      <w:tr w:rsidR="0098371D" w:rsidTr="00BC052C">
        <w:tc>
          <w:tcPr>
            <w:tcW w:w="7128" w:type="dxa"/>
          </w:tcPr>
          <w:p w:rsidR="0098371D" w:rsidRDefault="0098371D" w:rsidP="00BC052C">
            <w:pPr>
              <w:ind w:right="174"/>
            </w:pPr>
            <w:r>
              <w:t xml:space="preserve">1.  В споре с коллегами я стремлюсь показать </w:t>
            </w:r>
          </w:p>
          <w:p w:rsidR="0098371D" w:rsidRDefault="0098371D" w:rsidP="00BC052C">
            <w:pPr>
              <w:ind w:right="174"/>
            </w:pPr>
            <w:r>
              <w:t xml:space="preserve">преимущества своей позиции          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1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2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3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4</w:t>
            </w:r>
          </w:p>
        </w:tc>
      </w:tr>
      <w:tr w:rsidR="0098371D" w:rsidTr="00BC052C">
        <w:tc>
          <w:tcPr>
            <w:tcW w:w="7128" w:type="dxa"/>
          </w:tcPr>
          <w:p w:rsidR="0098371D" w:rsidRDefault="0098371D" w:rsidP="00BC052C">
            <w:pPr>
              <w:ind w:right="174"/>
            </w:pPr>
            <w:r>
              <w:t>2.  Я веду переговоры с целью достичь        компромисса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1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2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3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4</w:t>
            </w:r>
          </w:p>
        </w:tc>
      </w:tr>
      <w:tr w:rsidR="0098371D" w:rsidTr="00BC052C">
        <w:tc>
          <w:tcPr>
            <w:tcW w:w="7128" w:type="dxa"/>
          </w:tcPr>
          <w:p w:rsidR="0098371D" w:rsidRDefault="0098371D" w:rsidP="00BC052C">
            <w:pPr>
              <w:ind w:right="174"/>
            </w:pPr>
            <w:r>
              <w:t>3.  Я стремлюсь оправдать ожидания коллег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1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2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3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4</w:t>
            </w:r>
          </w:p>
        </w:tc>
      </w:tr>
      <w:tr w:rsidR="0098371D" w:rsidTr="00BC052C">
        <w:tc>
          <w:tcPr>
            <w:tcW w:w="7128" w:type="dxa"/>
          </w:tcPr>
          <w:p w:rsidR="0098371D" w:rsidRDefault="0098371D" w:rsidP="00BC052C">
            <w:pPr>
              <w:ind w:right="174"/>
            </w:pPr>
            <w:r>
              <w:t>4.  Я стараюсь исследовать проблему вместе с коллегами и найти приемлемое для всех решение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1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2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3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4</w:t>
            </w:r>
          </w:p>
        </w:tc>
      </w:tr>
      <w:tr w:rsidR="0098371D" w:rsidTr="00BC052C">
        <w:tc>
          <w:tcPr>
            <w:tcW w:w="7128" w:type="dxa"/>
          </w:tcPr>
          <w:p w:rsidR="0098371D" w:rsidRDefault="0098371D" w:rsidP="00BC052C">
            <w:pPr>
              <w:ind w:right="174"/>
            </w:pPr>
            <w:r>
              <w:t>5.  Я настойчиво отстаиваю свою позицию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1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2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3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4</w:t>
            </w:r>
          </w:p>
        </w:tc>
      </w:tr>
      <w:tr w:rsidR="0098371D" w:rsidTr="00BC052C">
        <w:tc>
          <w:tcPr>
            <w:tcW w:w="7128" w:type="dxa"/>
          </w:tcPr>
          <w:p w:rsidR="0098371D" w:rsidRDefault="0098371D" w:rsidP="00BC052C">
            <w:pPr>
              <w:ind w:right="174"/>
            </w:pPr>
            <w:r>
              <w:t>6.  Я пытаюсь избежать быть втянутым в неприятности, без нужды не обостряю отношения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1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2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3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4</w:t>
            </w:r>
          </w:p>
        </w:tc>
      </w:tr>
      <w:tr w:rsidR="0098371D" w:rsidTr="00BC052C">
        <w:tc>
          <w:tcPr>
            <w:tcW w:w="7128" w:type="dxa"/>
          </w:tcPr>
          <w:p w:rsidR="0098371D" w:rsidRDefault="0098371D" w:rsidP="00BC052C">
            <w:pPr>
              <w:ind w:right="174"/>
            </w:pPr>
            <w:r>
              <w:t>7.  Я твердо придерживаюсь своей линии в решении проблемы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1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2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3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4</w:t>
            </w:r>
          </w:p>
        </w:tc>
      </w:tr>
      <w:tr w:rsidR="0098371D" w:rsidTr="00BC052C">
        <w:tc>
          <w:tcPr>
            <w:tcW w:w="7128" w:type="dxa"/>
          </w:tcPr>
          <w:p w:rsidR="0098371D" w:rsidRDefault="0098371D" w:rsidP="00BC052C">
            <w:pPr>
              <w:ind w:right="174"/>
            </w:pPr>
            <w:r>
              <w:t>8.  Я в чем-то уступаю, но в чем-то твердо настаиваю при решении проблемы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1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2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3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4</w:t>
            </w:r>
          </w:p>
        </w:tc>
      </w:tr>
      <w:tr w:rsidR="0098371D" w:rsidTr="00BC052C">
        <w:tc>
          <w:tcPr>
            <w:tcW w:w="7128" w:type="dxa"/>
          </w:tcPr>
          <w:p w:rsidR="0098371D" w:rsidRDefault="0098371D" w:rsidP="00BC052C">
            <w:pPr>
              <w:ind w:right="174"/>
            </w:pPr>
            <w:r>
              <w:t>9.  Я обмениваюсь достоверной и полной информацией с коллегами в решении проблем</w:t>
            </w:r>
            <w:r>
              <w:tab/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1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2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3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4</w:t>
            </w:r>
          </w:p>
        </w:tc>
      </w:tr>
      <w:tr w:rsidR="0098371D" w:rsidTr="00BC052C">
        <w:tc>
          <w:tcPr>
            <w:tcW w:w="7128" w:type="dxa"/>
          </w:tcPr>
          <w:p w:rsidR="0098371D" w:rsidRDefault="0098371D" w:rsidP="00BC052C">
            <w:pPr>
              <w:ind w:right="174"/>
            </w:pPr>
            <w:r>
              <w:t>10. Я избегаю открытых дискуссий по поводу разногласий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1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2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3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4</w:t>
            </w:r>
          </w:p>
        </w:tc>
      </w:tr>
      <w:tr w:rsidR="0098371D" w:rsidTr="00BC052C">
        <w:tc>
          <w:tcPr>
            <w:tcW w:w="7128" w:type="dxa"/>
          </w:tcPr>
          <w:p w:rsidR="0098371D" w:rsidRDefault="0098371D" w:rsidP="00BC052C">
            <w:pPr>
              <w:ind w:right="174"/>
            </w:pPr>
            <w:r>
              <w:t>11. Я приспосабливаюсь к требованиям и желаниям коллег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1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2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3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4</w:t>
            </w:r>
          </w:p>
        </w:tc>
      </w:tr>
      <w:tr w:rsidR="0098371D" w:rsidTr="00BC052C">
        <w:tc>
          <w:tcPr>
            <w:tcW w:w="7128" w:type="dxa"/>
          </w:tcPr>
          <w:p w:rsidR="0098371D" w:rsidRDefault="0098371D" w:rsidP="00BC052C">
            <w:pPr>
              <w:ind w:right="174"/>
            </w:pPr>
            <w:r>
              <w:t>12. Я стремлюсь сделать наши точки зрения открытыми с тем, чтобы мы вместе пришли к нужному решению</w:t>
            </w:r>
            <w:r>
              <w:tab/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1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2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3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4</w:t>
            </w:r>
          </w:p>
        </w:tc>
      </w:tr>
      <w:tr w:rsidR="0098371D" w:rsidTr="00BC052C">
        <w:tc>
          <w:tcPr>
            <w:tcW w:w="7128" w:type="dxa"/>
          </w:tcPr>
          <w:p w:rsidR="0098371D" w:rsidRDefault="0098371D" w:rsidP="00BC052C">
            <w:pPr>
              <w:ind w:right="174"/>
            </w:pPr>
            <w:r>
              <w:t>13. Я предлагаю выбирать среднюю позицию для преодоления разногласий</w:t>
            </w:r>
            <w:r>
              <w:tab/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1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2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3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4</w:t>
            </w:r>
          </w:p>
        </w:tc>
      </w:tr>
      <w:tr w:rsidR="0098371D" w:rsidTr="00BC052C">
        <w:tc>
          <w:tcPr>
            <w:tcW w:w="7128" w:type="dxa"/>
          </w:tcPr>
          <w:p w:rsidR="0098371D" w:rsidRDefault="0098371D" w:rsidP="00BC052C">
            <w:pPr>
              <w:ind w:right="174"/>
            </w:pPr>
            <w:r>
              <w:t xml:space="preserve">14. Обычно я соглашаюсь с предложениями коллег                 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1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2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3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4</w:t>
            </w:r>
          </w:p>
        </w:tc>
      </w:tr>
      <w:tr w:rsidR="0098371D" w:rsidTr="00BC052C">
        <w:tc>
          <w:tcPr>
            <w:tcW w:w="7128" w:type="dxa"/>
          </w:tcPr>
          <w:p w:rsidR="0098371D" w:rsidRDefault="0098371D" w:rsidP="00BC052C">
            <w:pPr>
              <w:ind w:right="174"/>
            </w:pPr>
            <w:r>
              <w:t>15. Я стараюсь держать несогласие с коллегами при себе, чтобы избежать сильного проявления эмоций</w:t>
            </w:r>
            <w:r>
              <w:tab/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1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2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3</w:t>
            </w:r>
          </w:p>
        </w:tc>
        <w:tc>
          <w:tcPr>
            <w:tcW w:w="540" w:type="dxa"/>
          </w:tcPr>
          <w:p w:rsidR="0098371D" w:rsidRDefault="0098371D" w:rsidP="00BC052C">
            <w:pPr>
              <w:ind w:right="174"/>
            </w:pPr>
            <w:r>
              <w:t>4</w:t>
            </w:r>
          </w:p>
        </w:tc>
      </w:tr>
    </w:tbl>
    <w:p w:rsidR="0098371D" w:rsidRDefault="0098371D" w:rsidP="0098371D">
      <w:pPr>
        <w:ind w:right="174"/>
      </w:pPr>
      <w:r>
        <w:t xml:space="preserve"> </w:t>
      </w:r>
    </w:p>
    <w:p w:rsidR="0098371D" w:rsidRDefault="0098371D" w:rsidP="0098371D">
      <w:pPr>
        <w:ind w:right="174"/>
      </w:pPr>
      <w:r>
        <w:t xml:space="preserve">Подсчитайте сумму баллов по каждой из пяти групп: </w:t>
      </w:r>
    </w:p>
    <w:p w:rsidR="0098371D" w:rsidRDefault="0098371D" w:rsidP="0098371D">
      <w:pPr>
        <w:ind w:right="174"/>
      </w:pPr>
      <w:r>
        <w:t>1 группа (сотрудничество) – строка 4, 9, 12;</w:t>
      </w:r>
    </w:p>
    <w:p w:rsidR="0098371D" w:rsidRDefault="0098371D" w:rsidP="0098371D">
      <w:pPr>
        <w:ind w:right="174"/>
      </w:pPr>
      <w:r>
        <w:t>2 группа (приспособление) – строка 3, 11, 14;</w:t>
      </w:r>
    </w:p>
    <w:p w:rsidR="0098371D" w:rsidRDefault="0098371D" w:rsidP="0098371D">
      <w:pPr>
        <w:ind w:right="174"/>
      </w:pPr>
      <w:r>
        <w:t>3 группа (соперничество) – строка 1, 5, 7;</w:t>
      </w:r>
    </w:p>
    <w:p w:rsidR="0098371D" w:rsidRDefault="0098371D" w:rsidP="0098371D">
      <w:pPr>
        <w:ind w:right="174"/>
      </w:pPr>
      <w:r>
        <w:t>4 группа (избегание) – 6, 10, 15;</w:t>
      </w:r>
    </w:p>
    <w:p w:rsidR="0098371D" w:rsidRDefault="0098371D" w:rsidP="0098371D">
      <w:pPr>
        <w:ind w:right="174"/>
      </w:pPr>
      <w:r>
        <w:t>5 группа (компромисс) – 2, 8, 13</w:t>
      </w:r>
    </w:p>
    <w:p w:rsidR="0098371D" w:rsidRDefault="0098371D" w:rsidP="0098371D">
      <w:pPr>
        <w:ind w:right="174"/>
      </w:pPr>
    </w:p>
    <w:p w:rsidR="0098371D" w:rsidRDefault="0098371D" w:rsidP="0098371D">
      <w:pPr>
        <w:ind w:right="174"/>
      </w:pPr>
      <w:r>
        <w:t>10-12 баллов –  ярко выраженная стратегия поведения в конфликтной ситуации.</w:t>
      </w:r>
    </w:p>
    <w:p w:rsidR="0098371D" w:rsidRDefault="0098371D" w:rsidP="0098371D">
      <w:pPr>
        <w:ind w:right="174"/>
      </w:pPr>
      <w:r>
        <w:t>7-9 баллов –  преобладающая стратегия поведения в конфликтной ситуации.</w:t>
      </w:r>
    </w:p>
    <w:p w:rsidR="0098371D" w:rsidRDefault="0098371D" w:rsidP="0098371D">
      <w:pPr>
        <w:ind w:right="174"/>
      </w:pPr>
      <w:r>
        <w:t>3-6 баллов – не свойственная стратегия поведения в конфликтной ситуации.</w:t>
      </w:r>
    </w:p>
    <w:p w:rsidR="0071642D" w:rsidRDefault="0098371D" w:rsidP="0098371D">
      <w:r>
        <w:rPr>
          <w:b/>
          <w:bCs/>
          <w:color w:val="000000"/>
        </w:rPr>
        <w:br w:type="page"/>
      </w:r>
    </w:p>
    <w:sectPr w:rsidR="0071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C4" w:rsidRDefault="003535C4" w:rsidP="005434CB">
      <w:r>
        <w:separator/>
      </w:r>
    </w:p>
  </w:endnote>
  <w:endnote w:type="continuationSeparator" w:id="0">
    <w:p w:rsidR="003535C4" w:rsidRDefault="003535C4" w:rsidP="0054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C4" w:rsidRDefault="003535C4" w:rsidP="005434CB">
      <w:r>
        <w:separator/>
      </w:r>
    </w:p>
  </w:footnote>
  <w:footnote w:type="continuationSeparator" w:id="0">
    <w:p w:rsidR="003535C4" w:rsidRDefault="003535C4" w:rsidP="005434CB">
      <w:r>
        <w:continuationSeparator/>
      </w:r>
    </w:p>
  </w:footnote>
  <w:footnote w:id="1">
    <w:p w:rsidR="005434CB" w:rsidRDefault="005434CB" w:rsidP="005434C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1D170A">
        <w:t xml:space="preserve">По </w:t>
      </w:r>
      <w:bookmarkStart w:id="0" w:name="_GoBack"/>
      <w:bookmarkEnd w:id="0"/>
      <w:r w:rsidRPr="005434CB">
        <w:t>Малкина-Пых И. Г.. Психосоматика: Справочник практического психолога. — М.: Изд-во Эксмо. — 992 с.. 2005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7F"/>
    <w:rsid w:val="001D170A"/>
    <w:rsid w:val="0028067F"/>
    <w:rsid w:val="003535C4"/>
    <w:rsid w:val="005434CB"/>
    <w:rsid w:val="0071642D"/>
    <w:rsid w:val="0098371D"/>
    <w:rsid w:val="00C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E1FA-FCC1-4230-9F89-DA4DC770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434C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3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3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D57B-1E06-4DF2-AC21-57F6B599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2020-02-15T18:35:00Z</dcterms:created>
  <dcterms:modified xsi:type="dcterms:W3CDTF">2020-02-15T18:59:00Z</dcterms:modified>
</cp:coreProperties>
</file>